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F3" w:rsidRPr="00A81DA7" w:rsidRDefault="009C0EF3" w:rsidP="0070428E">
      <w:pPr>
        <w:pStyle w:val="Title"/>
        <w:pBdr>
          <w:bottom w:val="single" w:sz="4" w:space="1" w:color="auto"/>
        </w:pBdr>
        <w:rPr>
          <w:rFonts w:asciiTheme="minorHAnsi" w:eastAsia="Times New Roman" w:hAnsiTheme="minorHAnsi" w:cstheme="minorHAnsi"/>
          <w:sz w:val="44"/>
          <w:szCs w:val="44"/>
          <w:lang w:val="en-US"/>
        </w:rPr>
      </w:pPr>
      <w:r w:rsidRPr="00A81DA7">
        <w:rPr>
          <w:rFonts w:asciiTheme="minorHAnsi" w:eastAsia="Times New Roman" w:hAnsiTheme="minorHAnsi" w:cstheme="minorHAnsi"/>
          <w:sz w:val="44"/>
          <w:szCs w:val="44"/>
          <w:lang w:val="en-US"/>
        </w:rPr>
        <w:t>Funding Landscape Tool for Sample Registration System (SRS) Implementation: Guidance Note</w:t>
      </w:r>
    </w:p>
    <w:p w:rsidR="009C0EF3" w:rsidRPr="009C0EF3" w:rsidRDefault="009D7C35" w:rsidP="007D2D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b/>
          <w:bCs/>
          <w:sz w:val="24"/>
          <w:szCs w:val="24"/>
          <w:lang w:val="en-US"/>
        </w:rPr>
        <w:t>Version:</w:t>
      </w:r>
      <w:r w:rsidRPr="009C0EF3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7D2D39">
        <w:rPr>
          <w:rFonts w:eastAsia="Times New Roman" w:cstheme="minorHAnsi"/>
          <w:sz w:val="24"/>
          <w:szCs w:val="24"/>
          <w:lang w:val="en-US"/>
        </w:rPr>
        <w:t>9</w:t>
      </w:r>
      <w:r w:rsidR="001F1074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9C0EF3">
        <w:rPr>
          <w:rFonts w:eastAsia="Times New Roman" w:cstheme="minorHAnsi"/>
          <w:sz w:val="24"/>
          <w:szCs w:val="24"/>
          <w:lang w:val="en-US"/>
        </w:rPr>
        <w:t>May 2025</w:t>
      </w:r>
    </w:p>
    <w:p w:rsidR="009C0EF3" w:rsidRPr="00A81DA7" w:rsidRDefault="009C0EF3" w:rsidP="009D7C35">
      <w:pPr>
        <w:pStyle w:val="Heading1"/>
        <w:pBdr>
          <w:bottom w:val="single" w:sz="18" w:space="1" w:color="auto"/>
        </w:pBdr>
        <w:rPr>
          <w:rFonts w:asciiTheme="minorHAnsi" w:eastAsia="Times New Roman" w:hAnsiTheme="minorHAnsi" w:cstheme="minorHAnsi"/>
          <w:lang w:val="en-US"/>
        </w:rPr>
      </w:pPr>
      <w:r w:rsidRPr="00A81DA7">
        <w:rPr>
          <w:rFonts w:asciiTheme="minorHAnsi" w:eastAsia="Times New Roman" w:hAnsiTheme="minorHAnsi" w:cstheme="minorHAnsi"/>
          <w:lang w:val="en-US"/>
        </w:rPr>
        <w:t>1. Purpose of the Tool</w:t>
      </w:r>
    </w:p>
    <w:p w:rsidR="00A81DA7" w:rsidRPr="00A81DA7" w:rsidRDefault="00A81DA7" w:rsidP="00A81DA7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>The Funding Landscape Tool is designed to support countries in identifying, mapping, and evaluating both existing and prospective funding sources, mechanisms, and stakeholders relevant to the implementation and scale-up of the Sample Registration System (SRS).</w:t>
      </w:r>
    </w:p>
    <w:p w:rsidR="00B25794" w:rsidRPr="00A81DA7" w:rsidRDefault="00A81DA7" w:rsidP="006956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 xml:space="preserve">The tool </w:t>
      </w:r>
      <w:r w:rsidR="006956F8">
        <w:rPr>
          <w:rFonts w:eastAsia="Times New Roman" w:cstheme="minorHAnsi"/>
          <w:sz w:val="24"/>
          <w:szCs w:val="24"/>
          <w:lang w:val="en-US"/>
        </w:rPr>
        <w:t>improves</w:t>
      </w:r>
      <w:r w:rsidRPr="00A81DA7">
        <w:rPr>
          <w:rFonts w:eastAsia="Times New Roman" w:cstheme="minorHAnsi"/>
          <w:sz w:val="24"/>
          <w:szCs w:val="24"/>
          <w:lang w:val="en-US"/>
        </w:rPr>
        <w:t xml:space="preserve"> understanding of the funding environment, highlights strategic entry points, aligns proposals with donor priorities, and supports more efficient processes f</w:t>
      </w:r>
      <w:r>
        <w:rPr>
          <w:rFonts w:eastAsia="Times New Roman" w:cstheme="minorHAnsi"/>
          <w:sz w:val="24"/>
          <w:szCs w:val="24"/>
          <w:lang w:val="en-US"/>
        </w:rPr>
        <w:t>or accessing and managing funds.</w:t>
      </w:r>
    </w:p>
    <w:p w:rsidR="009C0EF3" w:rsidRPr="009C0EF3" w:rsidRDefault="00A81DA7" w:rsidP="00B257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Key objectives include:</w:t>
      </w:r>
    </w:p>
    <w:p w:rsidR="009C0EF3" w:rsidRPr="009C0EF3" w:rsidRDefault="009C0EF3" w:rsidP="009C0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Mapping relevant stakeholders and funding sources;</w:t>
      </w:r>
    </w:p>
    <w:p w:rsidR="009C0EF3" w:rsidRPr="009C0EF3" w:rsidRDefault="009C0EF3" w:rsidP="009C0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Understanding donor and government priorities;</w:t>
      </w:r>
    </w:p>
    <w:p w:rsidR="009C0EF3" w:rsidRPr="009C0EF3" w:rsidRDefault="009C0EF3" w:rsidP="009C0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Identifying strategic entry points;</w:t>
      </w:r>
    </w:p>
    <w:p w:rsidR="009C0EF3" w:rsidRPr="009C0EF3" w:rsidRDefault="009C0EF3" w:rsidP="009C0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Supporting alignment of funding proposals with donor frameworks;</w:t>
      </w:r>
    </w:p>
    <w:p w:rsidR="009C0EF3" w:rsidRPr="00A81DA7" w:rsidRDefault="009C0EF3" w:rsidP="009D7C35">
      <w:pPr>
        <w:pStyle w:val="Heading1"/>
        <w:pBdr>
          <w:bottom w:val="single" w:sz="18" w:space="1" w:color="auto"/>
        </w:pBdr>
        <w:spacing w:after="240"/>
        <w:rPr>
          <w:rFonts w:asciiTheme="minorHAnsi" w:eastAsia="Times New Roman" w:hAnsiTheme="minorHAnsi" w:cstheme="minorHAnsi"/>
          <w:lang w:val="en-US"/>
        </w:rPr>
      </w:pPr>
      <w:bookmarkStart w:id="0" w:name="_GoBack"/>
      <w:bookmarkEnd w:id="0"/>
      <w:r w:rsidRPr="00A81DA7">
        <w:rPr>
          <w:rFonts w:asciiTheme="minorHAnsi" w:eastAsia="Times New Roman" w:hAnsiTheme="minorHAnsi" w:cstheme="minorHAnsi"/>
          <w:lang w:val="en-US"/>
        </w:rPr>
        <w:t>2. Components of the Tool and How to Use Them</w:t>
      </w:r>
    </w:p>
    <w:p w:rsidR="00534087" w:rsidRDefault="009D7C35" w:rsidP="009D7C35">
      <w:r w:rsidRPr="009D7C35">
        <w:t xml:space="preserve">This </w:t>
      </w:r>
      <w:r>
        <w:t>section</w:t>
      </w:r>
      <w:r w:rsidRPr="009D7C35">
        <w:t xml:space="preserve"> presents how each of the </w:t>
      </w:r>
      <w:r>
        <w:t>spredsheets</w:t>
      </w:r>
      <w:r w:rsidRPr="009D7C35">
        <w:t xml:space="preserve"> can be </w:t>
      </w:r>
      <w:r>
        <w:t>used</w:t>
      </w:r>
      <w:r w:rsidRPr="009D7C35">
        <w:t xml:space="preserve"> to support the development of a comprehensive funding landscape for SRS implementation.</w:t>
      </w:r>
    </w:p>
    <w:p w:rsidR="005D3550" w:rsidRPr="00A81DA7" w:rsidRDefault="007D2D39" w:rsidP="007D2D39">
      <w:pPr>
        <w:pStyle w:val="Heading2"/>
        <w:shd w:val="clear" w:color="auto" w:fill="9CC2E5" w:themeFill="accent1" w:themeFillTint="99"/>
      </w:pPr>
      <w:r>
        <w:t xml:space="preserve">A. Funding source </w:t>
      </w:r>
      <w:r w:rsidR="005D3550" w:rsidRPr="00A81DA7">
        <w:t>mapping</w:t>
      </w:r>
    </w:p>
    <w:p w:rsidR="009C0EF3" w:rsidRPr="009C0EF3" w:rsidRDefault="009C0EF3" w:rsidP="00A81DA7">
      <w:pPr>
        <w:spacing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Use this section to identify</w:t>
      </w:r>
      <w:r w:rsidR="005D3550" w:rsidRPr="00A81DA7">
        <w:rPr>
          <w:rFonts w:eastAsia="Times New Roman" w:cstheme="minorHAnsi"/>
          <w:sz w:val="24"/>
          <w:szCs w:val="24"/>
          <w:lang w:val="en-US"/>
        </w:rPr>
        <w:t xml:space="preserve"> (</w:t>
      </w:r>
      <w:r w:rsidR="00811D90" w:rsidRPr="00A81DA7">
        <w:rPr>
          <w:rFonts w:eastAsia="Times New Roman" w:cstheme="minorHAnsi"/>
          <w:sz w:val="24"/>
          <w:szCs w:val="24"/>
          <w:lang w:val="en-US"/>
        </w:rPr>
        <w:t xml:space="preserve">or </w:t>
      </w:r>
      <w:r w:rsidR="005D3550" w:rsidRPr="00A81DA7">
        <w:rPr>
          <w:rFonts w:eastAsia="Times New Roman" w:cstheme="minorHAnsi"/>
          <w:sz w:val="24"/>
          <w:szCs w:val="24"/>
          <w:lang w:val="en-US"/>
        </w:rPr>
        <w:t>highlight from the comprehensive list of all stakeholders</w:t>
      </w:r>
      <w:r w:rsidR="00811D90" w:rsidRPr="00A81DA7">
        <w:rPr>
          <w:rFonts w:eastAsia="Times New Roman" w:cstheme="minorHAnsi"/>
          <w:sz w:val="24"/>
          <w:szCs w:val="24"/>
          <w:lang w:val="en-US"/>
        </w:rPr>
        <w:t xml:space="preserve"> you developed</w:t>
      </w:r>
      <w:r w:rsidR="005D3550" w:rsidRPr="00A81DA7">
        <w:rPr>
          <w:rFonts w:eastAsia="Times New Roman" w:cstheme="minorHAnsi"/>
          <w:sz w:val="24"/>
          <w:szCs w:val="24"/>
          <w:lang w:val="en-US"/>
        </w:rPr>
        <w:t>)</w:t>
      </w:r>
      <w:r w:rsidRPr="009C0EF3">
        <w:rPr>
          <w:rFonts w:eastAsia="Times New Roman" w:cstheme="minorHAnsi"/>
          <w:sz w:val="24"/>
          <w:szCs w:val="24"/>
          <w:lang w:val="en-US"/>
        </w:rPr>
        <w:t xml:space="preserve"> and categorize </w:t>
      </w:r>
      <w:r w:rsidRPr="009C0EF3">
        <w:rPr>
          <w:rFonts w:eastAsia="Times New Roman" w:cstheme="minorHAnsi"/>
          <w:sz w:val="24"/>
          <w:szCs w:val="24"/>
          <w:u w:val="single"/>
          <w:lang w:val="en-US"/>
        </w:rPr>
        <w:t>donors, funders, and implementing partners</w:t>
      </w:r>
      <w:r w:rsidRPr="009C0EF3">
        <w:rPr>
          <w:rFonts w:eastAsia="Times New Roman" w:cstheme="minorHAnsi"/>
          <w:sz w:val="24"/>
          <w:szCs w:val="24"/>
          <w:lang w:val="en-US"/>
        </w:rPr>
        <w:t xml:space="preserve"> at the global, regional, and national levels. Include information on their thematic focus, geographic reach, previous engagement in SRS or CRVS, and potential for future collaboration.</w:t>
      </w:r>
    </w:p>
    <w:p w:rsidR="009C0EF3" w:rsidRPr="009C0EF3" w:rsidRDefault="009C0EF3" w:rsidP="00A81DA7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b/>
          <w:bCs/>
          <w:sz w:val="24"/>
          <w:szCs w:val="24"/>
          <w:lang w:val="en-US"/>
        </w:rPr>
        <w:t>How to use:</w:t>
      </w:r>
    </w:p>
    <w:p w:rsidR="009C0EF3" w:rsidRDefault="009C0EF3" w:rsidP="0053408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Populate with country-specific donors and stakeholders.</w:t>
      </w:r>
    </w:p>
    <w:p w:rsidR="00534087" w:rsidRPr="009C0EF3" w:rsidRDefault="00534087" w:rsidP="0053408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Identify h</w:t>
      </w:r>
      <w:r w:rsidRPr="00534087">
        <w:rPr>
          <w:rFonts w:eastAsia="Times New Roman" w:cstheme="minorHAnsi"/>
          <w:sz w:val="24"/>
          <w:szCs w:val="24"/>
          <w:lang w:val="en-US"/>
        </w:rPr>
        <w:t>istory of engagement in CRVS/SRS</w:t>
      </w:r>
    </w:p>
    <w:p w:rsidR="005D3550" w:rsidRDefault="009C0EF3" w:rsidP="00534087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Use the contact points listed to initiate discussions or explore opportunities.</w:t>
      </w:r>
    </w:p>
    <w:p w:rsidR="009D7C35" w:rsidRPr="009C0EF3" w:rsidRDefault="009D7C35" w:rsidP="001F1074">
      <w:pPr>
        <w:spacing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Note: You can also </w:t>
      </w:r>
      <w:r w:rsidR="001F1074">
        <w:rPr>
          <w:rFonts w:eastAsia="Times New Roman" w:cstheme="minorHAnsi"/>
          <w:sz w:val="24"/>
          <w:szCs w:val="24"/>
          <w:lang w:val="en-US"/>
        </w:rPr>
        <w:t>adapt</w:t>
      </w:r>
      <w:r>
        <w:rPr>
          <w:rFonts w:eastAsia="Times New Roman" w:cstheme="minorHAnsi"/>
          <w:sz w:val="24"/>
          <w:szCs w:val="24"/>
          <w:lang w:val="en-US"/>
        </w:rPr>
        <w:t xml:space="preserve"> the </w:t>
      </w:r>
      <w:r w:rsidRPr="009D7C35">
        <w:rPr>
          <w:rFonts w:eastAsia="Times New Roman" w:cstheme="minorHAnsi"/>
          <w:sz w:val="24"/>
          <w:szCs w:val="24"/>
          <w:lang w:val="en-US"/>
        </w:rPr>
        <w:t>Stakeholder Analysis (Interest-Power Grid)</w:t>
      </w:r>
      <w:r>
        <w:rPr>
          <w:rFonts w:eastAsia="Times New Roman" w:cstheme="minorHAnsi"/>
          <w:sz w:val="24"/>
          <w:szCs w:val="24"/>
          <w:lang w:val="en-US"/>
        </w:rPr>
        <w:t xml:space="preserve"> (</w:t>
      </w:r>
      <w:r w:rsidRPr="009D7C35">
        <w:rPr>
          <w:rFonts w:eastAsia="Times New Roman" w:cstheme="minorHAnsi"/>
          <w:color w:val="4472C4" w:themeColor="accent5"/>
          <w:sz w:val="24"/>
          <w:szCs w:val="24"/>
          <w:lang w:val="en-US"/>
        </w:rPr>
        <w:t>Form 1.4. Stakeholder.analysis.interest.power.grid</w:t>
      </w:r>
      <w:r>
        <w:rPr>
          <w:rFonts w:eastAsia="Times New Roman" w:cstheme="minorHAnsi"/>
          <w:sz w:val="24"/>
          <w:szCs w:val="24"/>
          <w:lang w:val="en-US"/>
        </w:rPr>
        <w:t xml:space="preserve">) to </w:t>
      </w:r>
      <w:r w:rsidR="001F1074" w:rsidRPr="001F1074">
        <w:rPr>
          <w:rFonts w:eastAsia="Times New Roman" w:cstheme="minorHAnsi"/>
          <w:sz w:val="24"/>
          <w:szCs w:val="24"/>
          <w:lang w:val="en-US"/>
        </w:rPr>
        <w:t>Position key funders and domestic financing champions to tailor advocacy strategies</w:t>
      </w:r>
      <w:r w:rsidR="001F1074">
        <w:rPr>
          <w:rFonts w:eastAsia="Times New Roman" w:cstheme="minorHAnsi"/>
          <w:sz w:val="24"/>
          <w:szCs w:val="24"/>
          <w:lang w:val="en-US"/>
        </w:rPr>
        <w:t xml:space="preserve"> and i</w:t>
      </w:r>
      <w:r w:rsidR="001F1074" w:rsidRPr="001F1074">
        <w:rPr>
          <w:rFonts w:eastAsia="Times New Roman" w:cstheme="minorHAnsi"/>
          <w:sz w:val="24"/>
          <w:szCs w:val="24"/>
          <w:lang w:val="en-US"/>
        </w:rPr>
        <w:t>dentify gatekeepers and allies</w:t>
      </w:r>
      <w:r w:rsidR="001F1074">
        <w:rPr>
          <w:rFonts w:eastAsia="Times New Roman" w:cstheme="minorHAnsi"/>
          <w:sz w:val="24"/>
          <w:szCs w:val="24"/>
          <w:lang w:val="en-US"/>
        </w:rPr>
        <w:t>.</w:t>
      </w:r>
    </w:p>
    <w:p w:rsidR="00A81DA7" w:rsidRPr="00A81DA7" w:rsidRDefault="00811D90" w:rsidP="001F1074">
      <w:pPr>
        <w:pStyle w:val="Heading2"/>
        <w:shd w:val="clear" w:color="auto" w:fill="9CC2E5" w:themeFill="accent1" w:themeFillTint="99"/>
      </w:pPr>
      <w:r w:rsidRPr="00A81DA7">
        <w:t>B. Funding mechanism s</w:t>
      </w:r>
      <w:r w:rsidR="009C0EF3" w:rsidRPr="00A81DA7">
        <w:t xml:space="preserve">ummary </w:t>
      </w:r>
    </w:p>
    <w:p w:rsidR="00A81DA7" w:rsidRDefault="00A81DA7" w:rsidP="00A81DA7">
      <w:pPr>
        <w:spacing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>This section outlines key funding instruments, including their scope, eligibility requirements, typical funding levels and durations, and reporting obligations.</w:t>
      </w:r>
    </w:p>
    <w:p w:rsidR="009C0EF3" w:rsidRPr="009C0EF3" w:rsidRDefault="009C0EF3" w:rsidP="0070428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b/>
          <w:bCs/>
          <w:sz w:val="24"/>
          <w:szCs w:val="24"/>
          <w:lang w:val="en-US"/>
        </w:rPr>
        <w:lastRenderedPageBreak/>
        <w:t>How to use:</w:t>
      </w:r>
    </w:p>
    <w:p w:rsidR="009C0EF3" w:rsidRPr="009C0EF3" w:rsidRDefault="009C0EF3" w:rsidP="00811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Identify mechanisms relevant to SRS components.</w:t>
      </w:r>
    </w:p>
    <w:p w:rsidR="009C0EF3" w:rsidRDefault="00811D90" w:rsidP="00811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>Identify current funding instruments and t</w:t>
      </w:r>
      <w:r w:rsidR="009C0EF3" w:rsidRPr="009C0EF3">
        <w:rPr>
          <w:rFonts w:eastAsia="Times New Roman" w:cstheme="minorHAnsi"/>
          <w:sz w:val="24"/>
          <w:szCs w:val="24"/>
          <w:lang w:val="en-US"/>
        </w:rPr>
        <w:t>rack upcoming opportunities.</w:t>
      </w:r>
    </w:p>
    <w:p w:rsidR="00534087" w:rsidRPr="00534087" w:rsidRDefault="00534087" w:rsidP="005340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534087">
        <w:rPr>
          <w:rFonts w:eastAsia="Times New Roman" w:cstheme="minorHAnsi"/>
          <w:sz w:val="24"/>
          <w:szCs w:val="24"/>
          <w:lang w:val="en-US"/>
        </w:rPr>
        <w:t>Donor priorities and restrictions</w:t>
      </w:r>
    </w:p>
    <w:p w:rsidR="00534087" w:rsidRPr="00534087" w:rsidRDefault="00534087" w:rsidP="005340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534087">
        <w:rPr>
          <w:rFonts w:eastAsia="Times New Roman" w:cstheme="minorHAnsi"/>
          <w:sz w:val="24"/>
          <w:szCs w:val="24"/>
          <w:lang w:val="en-US"/>
        </w:rPr>
        <w:t>Funding cycles and eligibility criteria</w:t>
      </w:r>
    </w:p>
    <w:p w:rsidR="00534087" w:rsidRPr="00534087" w:rsidRDefault="00534087" w:rsidP="005340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534087">
        <w:rPr>
          <w:rFonts w:eastAsia="Times New Roman" w:cstheme="minorHAnsi"/>
          <w:sz w:val="24"/>
          <w:szCs w:val="24"/>
          <w:lang w:val="en-US"/>
        </w:rPr>
        <w:t>Identify common themes in donor expectations and preferences</w:t>
      </w:r>
    </w:p>
    <w:p w:rsidR="00534087" w:rsidRPr="00534087" w:rsidRDefault="00534087" w:rsidP="005340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534087">
        <w:rPr>
          <w:rFonts w:eastAsia="Times New Roman" w:cstheme="minorHAnsi"/>
          <w:sz w:val="24"/>
          <w:szCs w:val="24"/>
          <w:lang w:val="en-US"/>
        </w:rPr>
        <w:t>Map strategic entry points for funding proposals</w:t>
      </w:r>
    </w:p>
    <w:p w:rsidR="00A81DA7" w:rsidRPr="001F1074" w:rsidRDefault="00811D90" w:rsidP="001F1074">
      <w:pPr>
        <w:pStyle w:val="Heading2"/>
        <w:shd w:val="clear" w:color="auto" w:fill="9CC2E5" w:themeFill="accent1" w:themeFillTint="99"/>
      </w:pPr>
      <w:r w:rsidRPr="001F1074">
        <w:t>C. Strategic alignment m</w:t>
      </w:r>
      <w:r w:rsidR="009C0EF3" w:rsidRPr="001F1074">
        <w:t xml:space="preserve">atrix </w:t>
      </w:r>
    </w:p>
    <w:p w:rsidR="0004448D" w:rsidRPr="009C0EF3" w:rsidRDefault="00A81DA7" w:rsidP="000444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 xml:space="preserve">This matrix helps country teams assess how </w:t>
      </w:r>
      <w:r w:rsidRPr="0004448D">
        <w:rPr>
          <w:rFonts w:eastAsia="Times New Roman" w:cstheme="minorHAnsi"/>
          <w:sz w:val="24"/>
          <w:szCs w:val="24"/>
          <w:u w:val="single"/>
          <w:lang w:val="en-US"/>
        </w:rPr>
        <w:t>components of their SRS implementation plan</w:t>
      </w:r>
      <w:r w:rsidRPr="00A81DA7">
        <w:rPr>
          <w:rFonts w:eastAsia="Times New Roman" w:cstheme="minorHAnsi"/>
          <w:sz w:val="24"/>
          <w:szCs w:val="24"/>
          <w:lang w:val="en-US"/>
        </w:rPr>
        <w:t xml:space="preserve"> align with </w:t>
      </w:r>
      <w:r>
        <w:rPr>
          <w:rFonts w:eastAsia="Times New Roman" w:cstheme="minorHAnsi"/>
          <w:sz w:val="24"/>
          <w:szCs w:val="24"/>
          <w:lang w:val="en-US"/>
        </w:rPr>
        <w:t xml:space="preserve">various </w:t>
      </w:r>
      <w:r w:rsidRPr="00A81DA7">
        <w:rPr>
          <w:rFonts w:eastAsia="Times New Roman" w:cstheme="minorHAnsi"/>
          <w:sz w:val="24"/>
          <w:szCs w:val="24"/>
          <w:lang w:val="en-US"/>
        </w:rPr>
        <w:t>donor priorities. It also provides tactical suggestions for integrating SRS needs into broader health, demographic, or data systems proposals.</w:t>
      </w:r>
    </w:p>
    <w:p w:rsidR="009C0EF3" w:rsidRPr="009C0EF3" w:rsidRDefault="009C0EF3" w:rsidP="0070428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b/>
          <w:bCs/>
          <w:sz w:val="24"/>
          <w:szCs w:val="24"/>
          <w:lang w:val="en-US"/>
        </w:rPr>
        <w:t>How to use:</w:t>
      </w:r>
    </w:p>
    <w:p w:rsidR="00A81DA7" w:rsidRPr="00A81DA7" w:rsidRDefault="00A81DA7" w:rsidP="00A81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>Cross-reference your SRS activities with donor thematic priorities</w:t>
      </w:r>
    </w:p>
    <w:p w:rsidR="009C0EF3" w:rsidRPr="009C0EF3" w:rsidRDefault="00A81DA7" w:rsidP="00A81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sz w:val="24"/>
          <w:szCs w:val="24"/>
          <w:lang w:val="en-US"/>
        </w:rPr>
        <w:t>Use alignment insights to refine concept notes and strengthen proposals</w:t>
      </w:r>
      <w:r w:rsidR="009C0EF3" w:rsidRPr="009C0EF3">
        <w:rPr>
          <w:rFonts w:eastAsia="Times New Roman" w:cstheme="minorHAnsi"/>
          <w:sz w:val="24"/>
          <w:szCs w:val="24"/>
          <w:lang w:val="en-US"/>
        </w:rPr>
        <w:t>.</w:t>
      </w:r>
    </w:p>
    <w:p w:rsidR="001F1074" w:rsidRPr="001F1074" w:rsidRDefault="00811D90" w:rsidP="001F1074">
      <w:pPr>
        <w:pStyle w:val="Heading2"/>
        <w:shd w:val="clear" w:color="auto" w:fill="9CC2E5" w:themeFill="accent1" w:themeFillTint="99"/>
        <w:spacing w:after="240"/>
      </w:pPr>
      <w:r w:rsidRPr="001F1074">
        <w:t>D. SWOT analysis of the funding l</w:t>
      </w:r>
      <w:r w:rsidR="009C0EF3" w:rsidRPr="001F1074">
        <w:t xml:space="preserve">andscape </w:t>
      </w:r>
    </w:p>
    <w:p w:rsidR="009C0EF3" w:rsidRDefault="0070428E" w:rsidP="00A81DA7">
      <w:pPr>
        <w:spacing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70428E">
        <w:rPr>
          <w:rFonts w:eastAsia="Times New Roman" w:cstheme="minorHAnsi"/>
          <w:sz w:val="24"/>
          <w:szCs w:val="24"/>
          <w:lang w:val="en-US"/>
        </w:rPr>
        <w:t>This component enables countries to systematically assess internal and external factors that influence their ability to attract, mobilize, and manage financial resources for SRS implementation. It provides a structured framework for understanding institutional strengths, recognizing operational gaps, identifying new opportunities, and mitigating external risks.</w:t>
      </w:r>
    </w:p>
    <w:p w:rsidR="00534087" w:rsidRPr="00534087" w:rsidRDefault="00534087" w:rsidP="0053408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n-GB"/>
        </w:rPr>
      </w:pPr>
      <w:r w:rsidRPr="00534087">
        <w:rPr>
          <w:rFonts w:eastAsia="Times New Roman" w:cstheme="minorHAnsi"/>
          <w:b/>
          <w:bCs/>
          <w:sz w:val="24"/>
          <w:szCs w:val="24"/>
          <w:lang w:val="en-GB"/>
        </w:rPr>
        <w:t>Strengths</w:t>
      </w:r>
      <w:r w:rsidRPr="00534087">
        <w:rPr>
          <w:rFonts w:eastAsia="Times New Roman" w:cstheme="minorHAnsi"/>
          <w:sz w:val="24"/>
          <w:szCs w:val="24"/>
          <w:lang w:val="en-GB"/>
        </w:rPr>
        <w:t>: Existing funding commitments, strong partnerships</w:t>
      </w:r>
    </w:p>
    <w:p w:rsidR="00534087" w:rsidRPr="00534087" w:rsidRDefault="00534087" w:rsidP="0053408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n-GB"/>
        </w:rPr>
      </w:pPr>
      <w:r w:rsidRPr="00534087">
        <w:rPr>
          <w:rFonts w:eastAsia="Times New Roman" w:cstheme="minorHAnsi"/>
          <w:b/>
          <w:bCs/>
          <w:sz w:val="24"/>
          <w:szCs w:val="24"/>
          <w:lang w:val="en-GB"/>
        </w:rPr>
        <w:t>Weaknesses</w:t>
      </w:r>
      <w:r w:rsidRPr="00534087">
        <w:rPr>
          <w:rFonts w:eastAsia="Times New Roman" w:cstheme="minorHAnsi"/>
          <w:sz w:val="24"/>
          <w:szCs w:val="24"/>
          <w:lang w:val="en-GB"/>
        </w:rPr>
        <w:t>: Limited funding opportunities, bureaucratic processes</w:t>
      </w:r>
    </w:p>
    <w:p w:rsidR="00534087" w:rsidRPr="00534087" w:rsidRDefault="00534087" w:rsidP="0053408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n-GB"/>
        </w:rPr>
      </w:pPr>
      <w:r w:rsidRPr="00534087">
        <w:rPr>
          <w:rFonts w:eastAsia="Times New Roman" w:cstheme="minorHAnsi"/>
          <w:b/>
          <w:bCs/>
          <w:sz w:val="24"/>
          <w:szCs w:val="24"/>
          <w:lang w:val="en-GB"/>
        </w:rPr>
        <w:t>Opportunities</w:t>
      </w:r>
      <w:r w:rsidRPr="00534087">
        <w:rPr>
          <w:rFonts w:eastAsia="Times New Roman" w:cstheme="minorHAnsi"/>
          <w:sz w:val="24"/>
          <w:szCs w:val="24"/>
          <w:lang w:val="en-GB"/>
        </w:rPr>
        <w:t>: Emerging health priorities, international collaborations</w:t>
      </w:r>
    </w:p>
    <w:p w:rsidR="00534087" w:rsidRPr="009C0EF3" w:rsidRDefault="00534087" w:rsidP="0053408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n-GB"/>
        </w:rPr>
      </w:pPr>
      <w:r w:rsidRPr="00534087">
        <w:rPr>
          <w:rFonts w:eastAsia="Times New Roman" w:cstheme="minorHAnsi"/>
          <w:b/>
          <w:bCs/>
          <w:sz w:val="24"/>
          <w:szCs w:val="24"/>
          <w:lang w:val="en-GB"/>
        </w:rPr>
        <w:t>Threats</w:t>
      </w:r>
      <w:r w:rsidRPr="00534087">
        <w:rPr>
          <w:rFonts w:eastAsia="Times New Roman" w:cstheme="minorHAnsi"/>
          <w:sz w:val="24"/>
          <w:szCs w:val="24"/>
          <w:lang w:val="en-GB"/>
        </w:rPr>
        <w:t>: Changes in donor priorities, economic instability</w:t>
      </w:r>
    </w:p>
    <w:p w:rsidR="009C0EF3" w:rsidRPr="009C0EF3" w:rsidRDefault="009C0EF3" w:rsidP="0070428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A81DA7">
        <w:rPr>
          <w:rFonts w:eastAsia="Times New Roman" w:cstheme="minorHAnsi"/>
          <w:b/>
          <w:bCs/>
          <w:sz w:val="24"/>
          <w:szCs w:val="24"/>
          <w:lang w:val="en-US"/>
        </w:rPr>
        <w:t>How to use:</w:t>
      </w:r>
    </w:p>
    <w:p w:rsidR="00996268" w:rsidRPr="00996268" w:rsidRDefault="00996268" w:rsidP="009962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Consult with relevant stakeholders </w:t>
      </w:r>
      <w:r w:rsidRPr="00996268">
        <w:rPr>
          <w:rFonts w:eastAsia="Times New Roman" w:cstheme="minorHAnsi"/>
          <w:sz w:val="24"/>
          <w:szCs w:val="24"/>
          <w:lang w:val="en-US"/>
        </w:rPr>
        <w:t>to fill in the matrix</w:t>
      </w:r>
    </w:p>
    <w:p w:rsidR="009C0EF3" w:rsidRPr="009C0EF3" w:rsidRDefault="00996268" w:rsidP="009962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96268">
        <w:rPr>
          <w:rFonts w:eastAsia="Times New Roman" w:cstheme="minorHAnsi"/>
          <w:sz w:val="24"/>
          <w:szCs w:val="24"/>
          <w:lang w:val="en-US"/>
        </w:rPr>
        <w:t>Use the analysis to inform national investment cases and donor strategies</w:t>
      </w:r>
      <w:r w:rsidR="009C0EF3" w:rsidRPr="009C0EF3">
        <w:rPr>
          <w:rFonts w:eastAsia="Times New Roman" w:cstheme="minorHAnsi"/>
          <w:sz w:val="24"/>
          <w:szCs w:val="24"/>
          <w:lang w:val="en-US"/>
        </w:rPr>
        <w:t>.</w:t>
      </w:r>
    </w:p>
    <w:p w:rsidR="009C0EF3" w:rsidRPr="009C0EF3" w:rsidRDefault="009C0EF3" w:rsidP="009C0EF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7D2D39" w:rsidRDefault="007D2D39">
      <w:pPr>
        <w:rPr>
          <w:rFonts w:asciiTheme="majorHAnsi" w:eastAsia="Times New Roman" w:hAnsiTheme="majorHAnsi" w:cstheme="majorBidi"/>
          <w:b/>
          <w:color w:val="000000" w:themeColor="text1"/>
          <w:sz w:val="28"/>
          <w:szCs w:val="32"/>
          <w:lang w:val="en-US"/>
        </w:rPr>
      </w:pPr>
      <w:r>
        <w:rPr>
          <w:rFonts w:eastAsia="Times New Roman"/>
          <w:lang w:val="en-US"/>
        </w:rPr>
        <w:br w:type="page"/>
      </w:r>
    </w:p>
    <w:p w:rsidR="009C0EF3" w:rsidRPr="009C0EF3" w:rsidRDefault="009D7C35" w:rsidP="009D7C35">
      <w:pPr>
        <w:pStyle w:val="Heading1"/>
        <w:pBdr>
          <w:bottom w:val="single" w:sz="18" w:space="1" w:color="auto"/>
        </w:pBdr>
        <w:rPr>
          <w:rFonts w:eastAsia="Times New Roman"/>
          <w:lang w:val="en-US"/>
        </w:rPr>
      </w:pPr>
      <w:r w:rsidRPr="00A81DA7">
        <w:rPr>
          <w:rFonts w:eastAsia="Times New Roman"/>
          <w:lang w:val="en-US"/>
        </w:rPr>
        <w:lastRenderedPageBreak/>
        <w:t>3. Suggested steps for implementation</w:t>
      </w:r>
    </w:p>
    <w:p w:rsidR="009C0EF3" w:rsidRPr="009C0EF3" w:rsidRDefault="009C0EF3" w:rsidP="009C0E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Form a national task team to lead the funding landscape analysis.</w:t>
      </w:r>
    </w:p>
    <w:p w:rsidR="009C0EF3" w:rsidRPr="009C0EF3" w:rsidRDefault="009C0EF3" w:rsidP="009C0E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Populate each sheet of the tool with national data.</w:t>
      </w:r>
    </w:p>
    <w:p w:rsidR="009C0EF3" w:rsidRPr="009C0EF3" w:rsidRDefault="009C0EF3" w:rsidP="009C0E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Convene a workshop with stakeholders to validate findings.</w:t>
      </w:r>
    </w:p>
    <w:p w:rsidR="009C0EF3" w:rsidRPr="009C0EF3" w:rsidRDefault="009C0EF3" w:rsidP="009C0E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Draft concept notes or proposals using aligned entry points.</w:t>
      </w:r>
    </w:p>
    <w:p w:rsidR="009C0EF3" w:rsidRPr="009C0EF3" w:rsidRDefault="009C0EF3" w:rsidP="009C0E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Monitor funding outcomes and update the tool regularly.</w:t>
      </w:r>
    </w:p>
    <w:p w:rsidR="009C0EF3" w:rsidRPr="009C0EF3" w:rsidRDefault="009C0EF3" w:rsidP="009C0EF3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9C0EF3" w:rsidRPr="009C0EF3" w:rsidRDefault="009D7C35" w:rsidP="009D7C35">
      <w:pPr>
        <w:pStyle w:val="Heading1"/>
        <w:pBdr>
          <w:bottom w:val="single" w:sz="18" w:space="1" w:color="auto"/>
        </w:pBdr>
        <w:rPr>
          <w:rFonts w:eastAsia="Times New Roman"/>
          <w:lang w:val="en-US"/>
        </w:rPr>
      </w:pPr>
      <w:r w:rsidRPr="00A81DA7">
        <w:rPr>
          <w:rFonts w:eastAsia="Times New Roman"/>
          <w:lang w:val="en-US"/>
        </w:rPr>
        <w:t>4. Key outputs and applications</w:t>
      </w:r>
    </w:p>
    <w:p w:rsidR="009C0EF3" w:rsidRPr="009C0EF3" w:rsidRDefault="009C0EF3" w:rsidP="009C0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A comprehensive database of funders and mechanisms relevant to SRS.</w:t>
      </w:r>
    </w:p>
    <w:p w:rsidR="009C0EF3" w:rsidRPr="009C0EF3" w:rsidRDefault="009C0EF3" w:rsidP="009C0E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Strategic insights to inform proposal writing and donor communication.</w:t>
      </w:r>
    </w:p>
    <w:p w:rsidR="009C0EF3" w:rsidRPr="009C0EF3" w:rsidRDefault="009D7C35" w:rsidP="009D7C35">
      <w:pPr>
        <w:pStyle w:val="Heading1"/>
        <w:pBdr>
          <w:bottom w:val="single" w:sz="18" w:space="1" w:color="auto"/>
        </w:pBdr>
        <w:rPr>
          <w:rFonts w:eastAsia="Times New Roman"/>
          <w:lang w:val="en-US"/>
        </w:rPr>
      </w:pPr>
      <w:r>
        <w:rPr>
          <w:rFonts w:eastAsia="Times New Roman"/>
          <w:lang w:val="en-US"/>
        </w:rPr>
        <w:t>5. Recommended u</w:t>
      </w:r>
      <w:r w:rsidR="009C0EF3" w:rsidRPr="00A81DA7">
        <w:rPr>
          <w:rFonts w:eastAsia="Times New Roman"/>
          <w:lang w:val="en-US"/>
        </w:rPr>
        <w:t>sers</w:t>
      </w:r>
    </w:p>
    <w:p w:rsidR="009C0EF3" w:rsidRPr="009C0EF3" w:rsidRDefault="009C0EF3" w:rsidP="009C0E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National CRVS or mortality surveillance focal points</w:t>
      </w:r>
    </w:p>
    <w:p w:rsidR="009C0EF3" w:rsidRPr="009C0EF3" w:rsidRDefault="009C0EF3" w:rsidP="009C0E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Ministries of Health and Finance</w:t>
      </w:r>
    </w:p>
    <w:p w:rsidR="009C0EF3" w:rsidRPr="009C0EF3" w:rsidRDefault="009C0EF3" w:rsidP="009C0E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Technical partners and development agencies</w:t>
      </w:r>
    </w:p>
    <w:p w:rsidR="009C0EF3" w:rsidRPr="009C0EF3" w:rsidRDefault="009C0EF3" w:rsidP="009D7C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>Proposal development teams and national statistics offices</w:t>
      </w:r>
    </w:p>
    <w:p w:rsidR="009C0EF3" w:rsidRPr="009C0EF3" w:rsidRDefault="009D7C35" w:rsidP="009D7C35">
      <w:pPr>
        <w:pStyle w:val="Heading1"/>
        <w:pBdr>
          <w:bottom w:val="single" w:sz="18" w:space="1" w:color="auto"/>
        </w:pBdr>
        <w:rPr>
          <w:rFonts w:eastAsia="Times New Roman"/>
          <w:lang w:val="en-US"/>
        </w:rPr>
      </w:pPr>
      <w:r w:rsidRPr="00A81DA7">
        <w:rPr>
          <w:rFonts w:eastAsia="Times New Roman"/>
          <w:lang w:val="en-US"/>
        </w:rPr>
        <w:t>6. Support and next steps</w:t>
      </w:r>
    </w:p>
    <w:p w:rsidR="009C0EF3" w:rsidRPr="009C0EF3" w:rsidRDefault="009C0EF3" w:rsidP="007D2D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/>
        </w:rPr>
      </w:pPr>
      <w:r w:rsidRPr="009C0EF3">
        <w:rPr>
          <w:rFonts w:eastAsia="Times New Roman" w:cstheme="minorHAnsi"/>
          <w:sz w:val="24"/>
          <w:szCs w:val="24"/>
          <w:lang w:val="en-US"/>
        </w:rPr>
        <w:t xml:space="preserve">Technical assistance can be provided to adapt the tool to country contexts, convene donor engagement meetings, and </w:t>
      </w:r>
      <w:r w:rsidR="007D2D39">
        <w:rPr>
          <w:rFonts w:eastAsia="Times New Roman" w:cstheme="minorHAnsi"/>
          <w:sz w:val="24"/>
          <w:szCs w:val="24"/>
          <w:lang w:val="en-US"/>
        </w:rPr>
        <w:t>providing feedback on</w:t>
      </w:r>
      <w:r w:rsidRPr="009C0EF3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7D2D39">
        <w:rPr>
          <w:rFonts w:eastAsia="Times New Roman" w:cstheme="minorHAnsi"/>
          <w:sz w:val="24"/>
          <w:szCs w:val="24"/>
          <w:lang w:val="en-US"/>
        </w:rPr>
        <w:t>country report</w:t>
      </w:r>
      <w:r w:rsidRPr="009C0EF3">
        <w:rPr>
          <w:rFonts w:eastAsia="Times New Roman" w:cstheme="minorHAnsi"/>
          <w:sz w:val="24"/>
          <w:szCs w:val="24"/>
          <w:lang w:val="en-US"/>
        </w:rPr>
        <w:t xml:space="preserve">. Country teams are encouraged to update the tool </w:t>
      </w:r>
      <w:r w:rsidR="001F1074">
        <w:rPr>
          <w:rFonts w:eastAsia="Times New Roman" w:cstheme="minorHAnsi"/>
          <w:sz w:val="24"/>
          <w:szCs w:val="24"/>
          <w:lang w:val="en-US"/>
        </w:rPr>
        <w:t xml:space="preserve">for their context </w:t>
      </w:r>
      <w:r w:rsidRPr="009C0EF3">
        <w:rPr>
          <w:rFonts w:eastAsia="Times New Roman" w:cstheme="minorHAnsi"/>
          <w:sz w:val="24"/>
          <w:szCs w:val="24"/>
          <w:lang w:val="en-US"/>
        </w:rPr>
        <w:t>and integrate it into broader health information system strengthening efforts.</w:t>
      </w:r>
    </w:p>
    <w:p w:rsidR="00745C7A" w:rsidRPr="00A81DA7" w:rsidRDefault="00745C7A">
      <w:pPr>
        <w:rPr>
          <w:rFonts w:cstheme="minorHAnsi"/>
        </w:rPr>
      </w:pPr>
    </w:p>
    <w:sectPr w:rsidR="00745C7A" w:rsidRPr="00A81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D9" w:rsidRDefault="005F36D9" w:rsidP="00AD6254">
      <w:pPr>
        <w:spacing w:after="0" w:line="240" w:lineRule="auto"/>
      </w:pPr>
      <w:r>
        <w:separator/>
      </w:r>
    </w:p>
  </w:endnote>
  <w:endnote w:type="continuationSeparator" w:id="0">
    <w:p w:rsidR="005F36D9" w:rsidRDefault="005F36D9" w:rsidP="00AD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D9" w:rsidRDefault="005F36D9" w:rsidP="00AD6254">
      <w:pPr>
        <w:spacing w:after="0" w:line="240" w:lineRule="auto"/>
      </w:pPr>
      <w:r>
        <w:separator/>
      </w:r>
    </w:p>
  </w:footnote>
  <w:footnote w:type="continuationSeparator" w:id="0">
    <w:p w:rsidR="005F36D9" w:rsidRDefault="005F36D9" w:rsidP="00AD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0A3"/>
    <w:multiLevelType w:val="multilevel"/>
    <w:tmpl w:val="C20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26CC8"/>
    <w:multiLevelType w:val="multilevel"/>
    <w:tmpl w:val="E4F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D061F"/>
    <w:multiLevelType w:val="multilevel"/>
    <w:tmpl w:val="EE28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45FFD"/>
    <w:multiLevelType w:val="multilevel"/>
    <w:tmpl w:val="59B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7427E"/>
    <w:multiLevelType w:val="multilevel"/>
    <w:tmpl w:val="3170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6587F"/>
    <w:multiLevelType w:val="hybridMultilevel"/>
    <w:tmpl w:val="8434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39ED"/>
    <w:multiLevelType w:val="multilevel"/>
    <w:tmpl w:val="059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B5394"/>
    <w:multiLevelType w:val="multilevel"/>
    <w:tmpl w:val="4688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800D2"/>
    <w:multiLevelType w:val="multilevel"/>
    <w:tmpl w:val="335E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37BDA"/>
    <w:multiLevelType w:val="multilevel"/>
    <w:tmpl w:val="728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61C7D"/>
    <w:multiLevelType w:val="multilevel"/>
    <w:tmpl w:val="415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872ED"/>
    <w:multiLevelType w:val="multilevel"/>
    <w:tmpl w:val="57A6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F3"/>
    <w:rsid w:val="0004448D"/>
    <w:rsid w:val="000D34A1"/>
    <w:rsid w:val="001B0249"/>
    <w:rsid w:val="001E5485"/>
    <w:rsid w:val="001F1074"/>
    <w:rsid w:val="00454C56"/>
    <w:rsid w:val="00534087"/>
    <w:rsid w:val="005D3550"/>
    <w:rsid w:val="005F36D9"/>
    <w:rsid w:val="00637F44"/>
    <w:rsid w:val="006956F8"/>
    <w:rsid w:val="0070428E"/>
    <w:rsid w:val="0071378D"/>
    <w:rsid w:val="00745C7A"/>
    <w:rsid w:val="007D2D39"/>
    <w:rsid w:val="00811D90"/>
    <w:rsid w:val="00996268"/>
    <w:rsid w:val="009C0EF3"/>
    <w:rsid w:val="009D7C35"/>
    <w:rsid w:val="00A650AF"/>
    <w:rsid w:val="00A81DA7"/>
    <w:rsid w:val="00AD6254"/>
    <w:rsid w:val="00AF1BE1"/>
    <w:rsid w:val="00B25794"/>
    <w:rsid w:val="00B351C4"/>
    <w:rsid w:val="00C37B69"/>
    <w:rsid w:val="00E005DA"/>
    <w:rsid w:val="00E53CE7"/>
    <w:rsid w:val="00EE6F56"/>
    <w:rsid w:val="00F741D5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209C4"/>
  <w15:chartTrackingRefBased/>
  <w15:docId w15:val="{995AE4EE-99D5-4E5A-AB50-90273BC6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DA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0EF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0428E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1DA7"/>
    <w:rPr>
      <w:rFonts w:eastAsiaTheme="majorEastAsia" w:cstheme="majorBidi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D62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6254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25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D62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62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87"/>
  </w:style>
  <w:style w:type="paragraph" w:styleId="Footer">
    <w:name w:val="footer"/>
    <w:basedOn w:val="Normal"/>
    <w:link w:val="FooterChar"/>
    <w:uiPriority w:val="99"/>
    <w:unhideWhenUsed/>
    <w:rsid w:val="0053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TPH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Tavakkoli</dc:creator>
  <cp:keywords/>
  <dc:description/>
  <cp:lastModifiedBy>Maryam Tavakkoli</cp:lastModifiedBy>
  <cp:revision>6</cp:revision>
  <dcterms:created xsi:type="dcterms:W3CDTF">2025-05-09T08:23:00Z</dcterms:created>
  <dcterms:modified xsi:type="dcterms:W3CDTF">2025-05-09T10:16:00Z</dcterms:modified>
</cp:coreProperties>
</file>